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AD" w:rsidRDefault="00CC32AD" w:rsidP="00CC32AD">
      <w:pPr>
        <w:shd w:val="clear" w:color="auto" w:fill="FFFFFF"/>
        <w:spacing w:after="0" w:line="330" w:lineRule="atLeast"/>
        <w:jc w:val="center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CC32AD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br/>
      </w:r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 xml:space="preserve">многоквартирного жилого дома со встроенными или пристроенными объектами социального и коммунально-бытового назначения и обслуживания населения по ул. </w:t>
      </w:r>
      <w:proofErr w:type="spellStart"/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Шолмова</w:t>
      </w:r>
      <w:proofErr w:type="spellEnd"/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 xml:space="preserve"> (юго-западнее кафе «Золотой дракон») в </w:t>
      </w:r>
      <w:proofErr w:type="spellStart"/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Засвияжском</w:t>
      </w:r>
      <w:proofErr w:type="spellEnd"/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 xml:space="preserve"> районе г. Ульяновска</w:t>
      </w:r>
    </w:p>
    <w:p w:rsidR="00CC32AD" w:rsidRPr="00CC32AD" w:rsidRDefault="00CC32AD" w:rsidP="00CC32AD">
      <w:pPr>
        <w:shd w:val="clear" w:color="auto" w:fill="FFFFFF"/>
        <w:spacing w:after="0" w:line="330" w:lineRule="atLeast"/>
        <w:jc w:val="center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</w:p>
    <w:p w:rsidR="00CC32AD" w:rsidRDefault="00CC32AD" w:rsidP="00CC32AD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CC32AD" w:rsidRPr="00CC32AD" w:rsidRDefault="00CC32AD" w:rsidP="00CC32AD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</w:p>
    <w:tbl>
      <w:tblPr>
        <w:tblW w:w="10773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7120"/>
      </w:tblGrid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Фирменное наименование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УльяновскЦентрГазСтрой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».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 нахождения застройщика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ind w:right="2318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432045, г. Ульяновск, улица Московское шоссе, 6-б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(8422) 46-90-05, 46-92-84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Режим работы застройщика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с 8.00 до 17.00 ежедневно кроме выходных: субботы, воскресенья.</w:t>
            </w:r>
          </w:p>
        </w:tc>
      </w:tr>
      <w:tr w:rsidR="00CC32AD" w:rsidRPr="00CC32AD" w:rsidTr="00CC32AD">
        <w:tc>
          <w:tcPr>
            <w:tcW w:w="10773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 государственной регистрации Застройщика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 государственной регистрации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Внесено в единый государственный реестр юридических лиц Инспекции МНС России по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Завсияжскому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району г. Ульяновск 22 ноября 2004 года за основным государственным регистрационным номером 1047301330152. Свидетельство о государственной регистрации юридического лица выдано 22 ноября 2004 года на бланке серия 73 № 000760907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Поставлено на учет в Инспекции МНС России по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Засвияжскому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району г. Ульяновска  22.11.2004 г.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>Свидетельство о постановке на учет в налоговом органе выдано 22.11.2004г.  на бланке серии 73 № 000760913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>ИНН 7327032966, КПП 732701001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об учредителях застройщика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1. Федоров Юрий Владимирович — 50% уставного капитала;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2. Федоров Артем Владимирович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— 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50% уставного капитала.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декларации, 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Ранее ООО «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УльяновскЦентрГазСтрой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» принимало участие в строительстве нижепоименованных объектов: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—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многоквартирный жилой дом с мансардой по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Толбухина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, 62А в Ленинском районе г. Ульяновска (срок ввода в эксплуатацию по проектной документации – 19.09.09г., фактический срок ввода в эксплуатацию – 30.09.08г.)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 — многоквартирный жилой дом по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Кролюницкого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в</w:t>
            </w:r>
            <w:proofErr w:type="gram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Ленинском районе г. Ульяновска (срок ввода в эксплуатацию по проектной документации – 01.06.2010г., фактический срок ввода в эксплуатацию – 26.08.2010г.)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— многоквартирный жилой дом по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Кролюницкого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, 17 в Ленинском районе г. Ульяновска (срок ввода в эксплуатацию по проектной документации – 10.10.2012г., фактический срок ввода в эксплуатацию – 30.12.2011г.) 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>— МТК МЕТРО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—  Локальная котельная в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р.п.Тереньга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для средней школы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— Газовая котельная в г. Димитровград для технологического института — филиала ФГОУ ВПО «Ульяновская ГСХА»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Свидетельство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16.03.2012г. № 0158.06-2009-7327032966-С-2, выдано некоммерческим партнерством «Саморегулируемая организация «Межрегиональное объединение строителей» на бланке 0640071</w:t>
            </w:r>
          </w:p>
        </w:tc>
      </w:tr>
      <w:tr w:rsidR="00CC32AD" w:rsidRPr="00CC32AD" w:rsidTr="00CC32AD">
        <w:tc>
          <w:tcPr>
            <w:tcW w:w="10773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 финансово-экономическом состоянии Застройщика по состоянию на 30.03.2014г.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  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26 тыс. руб.</w:t>
            </w:r>
          </w:p>
        </w:tc>
      </w:tr>
      <w:tr w:rsidR="00CC32AD" w:rsidRPr="00CC32AD" w:rsidTr="00CC32AD">
        <w:tc>
          <w:tcPr>
            <w:tcW w:w="365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и дебиторской задолженности по состоянию на 30.03.2014г.</w:t>
            </w:r>
          </w:p>
        </w:tc>
        <w:tc>
          <w:tcPr>
            <w:tcW w:w="71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Кредиторская задолженность – 54 662 тыс. руб.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Дебиторская задолженность —  1511 тыс. руб.</w:t>
            </w:r>
          </w:p>
        </w:tc>
      </w:tr>
    </w:tbl>
    <w:p w:rsidR="00CC32AD" w:rsidRP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C32AD" w:rsidRP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b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b/>
          <w:color w:val="777777"/>
          <w:sz w:val="21"/>
          <w:szCs w:val="21"/>
          <w:lang w:eastAsia="ru-RU"/>
        </w:rPr>
        <w:t>Информация о проекте строительства:</w:t>
      </w:r>
    </w:p>
    <w:tbl>
      <w:tblPr>
        <w:tblW w:w="10773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7275"/>
      </w:tblGrid>
      <w:tr w:rsidR="00CC32AD" w:rsidRPr="00CC32AD" w:rsidTr="00CC32AD">
        <w:tc>
          <w:tcPr>
            <w:tcW w:w="349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 строительства</w:t>
            </w:r>
          </w:p>
        </w:tc>
        <w:tc>
          <w:tcPr>
            <w:tcW w:w="72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Строительство многоквартирного жилого дома со встроенными или пристроенными объектами социального и коммунально-бытового назначения и обслуживания населения по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(юго-западнее кафе «Золотой дракон») в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Засвияжском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районе г. Ульяновска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для реализации путем продажи населению.</w:t>
            </w:r>
          </w:p>
        </w:tc>
      </w:tr>
      <w:tr w:rsidR="00CC32AD" w:rsidRPr="00CC32AD" w:rsidTr="00CC32AD">
        <w:tc>
          <w:tcPr>
            <w:tcW w:w="349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 и срок реализации строительства</w:t>
            </w:r>
          </w:p>
        </w:tc>
        <w:tc>
          <w:tcPr>
            <w:tcW w:w="72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Начало строительства: II квартал 2014 года.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Окончание строительства:  01 июля 2016 года.</w:t>
            </w:r>
          </w:p>
        </w:tc>
      </w:tr>
      <w:tr w:rsidR="00CC32AD" w:rsidRPr="00CC32AD" w:rsidTr="00CC32AD">
        <w:tc>
          <w:tcPr>
            <w:tcW w:w="349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Заключение экспертизы</w:t>
            </w:r>
          </w:p>
        </w:tc>
        <w:tc>
          <w:tcPr>
            <w:tcW w:w="72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Проектная документация прошла негосударственную экспертизу: положительное  заключение негосударственной экспертизы № 73-1-2-0064-12 от 14.12.2012г.</w:t>
            </w:r>
          </w:p>
        </w:tc>
      </w:tr>
      <w:tr w:rsidR="00CC32AD" w:rsidRPr="00CC32AD" w:rsidTr="00CC32AD">
        <w:tc>
          <w:tcPr>
            <w:tcW w:w="349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на строительство</w:t>
            </w:r>
          </w:p>
        </w:tc>
        <w:tc>
          <w:tcPr>
            <w:tcW w:w="72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Администрацией города Ульяновска 26.06.2014 года выдано Разрешение на строительство многоквартирного жилого дома со встроенными или пристроенными объектами социального и коммунально-бытового назначения и обслуживания населения по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(юго-западнее кафе «Золотой дракон») № RU 73304000-207. Срок действия разрешения до 01 июля 2016 года.</w:t>
            </w:r>
          </w:p>
        </w:tc>
      </w:tr>
      <w:tr w:rsidR="00CC32AD" w:rsidRPr="00CC32AD" w:rsidTr="00CC32AD">
        <w:tc>
          <w:tcPr>
            <w:tcW w:w="349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Земельный участок:</w:t>
            </w:r>
          </w:p>
        </w:tc>
        <w:tc>
          <w:tcPr>
            <w:tcW w:w="72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Земельный участок площадью 2 464 м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2 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 кадастровым номером 73:24:031104:14 расположенный   по адресу: г. Ульяновск,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(юго-западнее кафе «Золотой дракон» по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, 12), принадлежит застройщику на праве собственности на основании: договора купли-продажи от 05.10.2011г., зарегистрированного в Едином государственном реестре прав на недвижимое имущество и сделок с ним 31 октября 2011г., регистрационный № 73-73-01/446/2011-241, что подтверждается свидетельством о государственной регистрации права 73-АА 279302, выданным Управлением Федеральной службы государственной регистрации, кадастра и картографии по Ульяновской области  31 октября 2011г.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CC32AD" w:rsidRPr="00CC32AD" w:rsidTr="00CC32AD">
        <w:tc>
          <w:tcPr>
            <w:tcW w:w="349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Информация о планируемой стоимости строительства</w:t>
            </w:r>
          </w:p>
        </w:tc>
        <w:tc>
          <w:tcPr>
            <w:tcW w:w="72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310 млн. руб.</w:t>
            </w:r>
          </w:p>
        </w:tc>
      </w:tr>
      <w:tr w:rsidR="00CC32AD" w:rsidRPr="00CC32AD" w:rsidTr="00CC32AD">
        <w:tc>
          <w:tcPr>
            <w:tcW w:w="349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обеспечения  исполнения обязательств застройщика по договорам долевого участия в строительстве</w:t>
            </w:r>
          </w:p>
        </w:tc>
        <w:tc>
          <w:tcPr>
            <w:tcW w:w="72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Залог права собственности на земельный участок, расположенный по адресу:   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г. Ульяновск,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Засвияжский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(юго-западнее кафе «Золотой дракон», по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, 12)                </w:t>
            </w:r>
          </w:p>
        </w:tc>
      </w:tr>
    </w:tbl>
    <w:p w:rsid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</w:p>
    <w:p w:rsidR="00CC32AD" w:rsidRP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Описание строящегося объекта</w:t>
      </w:r>
    </w:p>
    <w:tbl>
      <w:tblPr>
        <w:tblW w:w="1238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7773"/>
        <w:gridCol w:w="1467"/>
        <w:gridCol w:w="45"/>
        <w:gridCol w:w="50"/>
        <w:gridCol w:w="45"/>
      </w:tblGrid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Местоположение </w:t>
            </w:r>
            <w:bookmarkStart w:id="0" w:name="_GoBack"/>
            <w:bookmarkEnd w:id="0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строящегося объекта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Ульяновская область, г. Ульяновск,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Засвияжский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(юго-западнее кафе «Золотой дракон» по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, 12)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Благоустройство территории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Благоустройство и озеленение участка в пределах отведенной территории будет осуществлено в соответствии с проектом.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Описание объекта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Многоквартирный жилой дом со встроенными или пристроенными объектами социального и коммунально-бытового назначения и обслуживания населения по ул.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(юго-западнее кафе «Золотой дракон») в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Засвияжском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районе г. Ульяновска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Данный дом включает в себя жилые квартиры в количестве 207 шт.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 На первом этаже располагаются офисные помещения </w:t>
            </w:r>
            <w:proofErr w:type="gram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общей  площадью</w:t>
            </w:r>
            <w:proofErr w:type="gram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476,2 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Жилой дом оборудован: водопроводом, канализацией, водостоком, крышной котельной, 4 лифтами из которых (2 лифта грузоподъемностью по 630 кг и 2 лифта грузоподъемностью по 400 кг), приточно-вытяжной вентиляцией, электроснабжением, телефонной сетью, телевидением.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Показатели объекта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Этажность – </w:t>
            </w:r>
            <w:proofErr w:type="gram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24  этажа</w:t>
            </w:r>
            <w:proofErr w:type="gramEnd"/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Общая площадь здания – 17784,8 м2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Общая площадь квартир – 11178,7 м2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Общая площадь встроенных помещений 476,2 м2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Строительный объем здания 59287,6 м3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в том </w:t>
            </w:r>
            <w:proofErr w:type="gram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числе  подземной</w:t>
            </w:r>
            <w:proofErr w:type="gram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части 3 048,8 м3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квартир – 207 кв., в том числе: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·        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Однокомнатных – 92 шт.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·        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Двухкомнатных – 92 шт.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             —      Трехкомнатных – 23 шт.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 xml:space="preserve">Высота этажей: технического подвала – 2,4 м; 1 </w:t>
            </w:r>
            <w:proofErr w:type="gram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этажа  –</w:t>
            </w:r>
            <w:proofErr w:type="gram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3,9 м, типового этажа —  3,0 м., верхнего технического этажа – 2,4 м.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Технические характеристики объекта и его самостоятельных частей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Фундамент – 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калиброванный свайно-плитный. Сваи забивные железобетонные по серии 1.011.1-10,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вып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. 1 сечением 300 Х 300 мм длинной 12,0 м из бетона В 25 W 6 на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сульфатостойком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цементе. Несущая способность свай (84 т) принята по результатам испытаний статистической нагрузкой. Расчетная допустимая нагрузка составляет 70 т.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Фундаментная плита 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(плитный ростверк высотой 1200 мм; сопряжение с сваями жесткое)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— 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монолитная железобетонная из бетона В 25 W 6 F 75 (арматура класса А 400) по бетонной подготовке.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Наружные стены – 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двухслойные </w:t>
            </w:r>
            <w:proofErr w:type="gram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ненесущие:  наружный</w:t>
            </w:r>
            <w:proofErr w:type="gram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слой – толщиной 120 мм из полнотелого керамического (ГОСТ 530-2007) и силикатного (ГОСТ 379-95) кирпича, внутренний блоки стеновые толщиной 400 мм из ячеистого бетона плотностью 600 кг/м3 по ГОСТ 31360-2007.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Внутренние несущие стены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толщиной 250 мм- из бетона В 25 W 4 F 50 (в подвале F 75) с симметричным армированием отдельными стержнями класса А 400 (диаметр 20 мм), связанными в сетки.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Колонны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– прямоугольного сечения размерами 250х800х1000мм приняты из бетона В30 W4 F50 с симметричным армированием отдельными стержнями класса А400 (диаметр 40 мм), объединенными в пространственные каркасы вязанными хомутами из арматуры класса А 240 (диаметр 12 мм).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Кровля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-рулонная с внутренним водостоком, утеплитель покрытия плиты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минераловатные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плотностью 160кг/м3 толщиной 110 мм.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Мусоропровод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– по СП 31-108-2002.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Окна –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ПВХ двухкамерными стеклопакетами.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Система отопления жилых квартир и офисных помещений –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от автономной крышной котельной.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Наружные инженерные сети 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выполнены согласно техническим условиям на присоединение городских эксплуатационных служб: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·        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Водоснабжение – 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предусмотрено от существующего </w:t>
            </w:r>
            <w:proofErr w:type="gram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водопровода  диаметром</w:t>
            </w:r>
            <w:proofErr w:type="gram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400 мм проходящие по ул.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. Гарантированный напор в точке подключения 40 м. Расход на наружное пожаротушение – 35 л/с.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·        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Водоотведение –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 в существующую камеру на канализационном коллекторе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Ду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2000 мм по ул.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Шолмова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·        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Электроснабжение – 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жилого дома II категории надежности предусмотрено на напряжение 380 </w:t>
            </w:r>
            <w:proofErr w:type="gram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</w:t>
            </w:r>
            <w:proofErr w:type="gram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от РУ-0,4кВ проектируемой и устанавливаемой МУП «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УльГЭС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» трансформаторной подстанции двумя кабельными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взаиморезервируемыми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линиями, кабелем марки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АПвБбШв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- 2(4х185). Наружное освещение выполняется со щита освещения, расположенного в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электрощитовой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дома, кабелем марки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ВБбШв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, проложенным в траншее.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·        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Сети связи – </w:t>
            </w:r>
            <w:proofErr w:type="gram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телефонизация 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(</w:t>
            </w:r>
            <w:proofErr w:type="gram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телефон, интернет и телевидение) жилого дома выполнена прокладкой оптоволоконного кабеля ДПО-П-16А-2,7кН в 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 xml:space="preserve">существующей и проектируемой телефонной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канализаии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от ПСЦ 62/5 (ул.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Камышинская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, 15А) в соответствии с ТУ№ 16-10/1232 от 23.11.2011г.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·        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Пожарная сигнализация –</w:t>
            </w: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 автоматическая установка пожарной сигнализации (АУПС) выполнена на основе адресно-аналоговых пожарных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извещателей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и оборудования «РУБЕЖ».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Наружная отделка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Наружная отделка решена с применением для цоколя камня облицовочного искусственного, выше сочетание красного и белого силикатного кирпича. Наружные двери из ПВХ.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общего имущества в доме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Внутренние инженерные коммуникации, помещения общего пользования, в том числе входные группы дома, лестничные площадки, лестничные марши, </w:t>
            </w:r>
            <w:proofErr w:type="gram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водомерный  узел</w:t>
            </w:r>
            <w:proofErr w:type="gram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, помещение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электрощитовой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, общее имущество технического этажа и подвала, за исключением помещений (площадь которых будет уточнена после технической инвентаризации объекта) технического этажа и подвала построенных за счет собственных средств застройщика и не входящие в состав общего имущества в доме.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Места общего пользования выполняются с полной чистовой отделкой.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На первом этаже расположены офисы высотой 3,9 м для объектов социального и </w:t>
            </w:r>
            <w:proofErr w:type="spellStart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коммунально</w:t>
            </w:r>
            <w:proofErr w:type="spellEnd"/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— бытового назначения и обслуживания населения с двумя входами с улицы.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01 июля 2016 года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Орган, уполномоченный в соответствии с законодательством о градостроительной деятельности на выдачу разрешения на ввод многоквартирного дома в эксплуатацию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Администрация города Ульяновска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По мнению Застройщика, подобные риски отсутствуют. Страхование на момент публикации проектной декларации не осуществляется.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Сведения об иных договорах и сделках, на основании  которых 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привлекаются  денежные средства для строительства (создания) многоквартирного дома.</w:t>
            </w:r>
          </w:p>
        </w:tc>
        <w:tc>
          <w:tcPr>
            <w:tcW w:w="777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>За счет собственных денежных средств Застройщика и привлеченных денежных средств Участников долевого строительства.</w:t>
            </w:r>
          </w:p>
          <w:p w:rsidR="00CC32AD" w:rsidRPr="00CC32AD" w:rsidRDefault="00CC32AD" w:rsidP="00CC32AD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> </w:t>
            </w:r>
          </w:p>
          <w:p w:rsidR="00CC32AD" w:rsidRPr="00CC32AD" w:rsidRDefault="00CC32AD" w:rsidP="00CC32AD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CC32AD" w:rsidRPr="00CC32AD" w:rsidTr="00CC32AD">
        <w:trPr>
          <w:gridAfter w:val="4"/>
          <w:wAfter w:w="1607" w:type="dxa"/>
        </w:trPr>
        <w:tc>
          <w:tcPr>
            <w:tcW w:w="10773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Генеральным подрядчиком строительства является общество с ограниченной ответственностью «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УльяновскЦентрГазСтрой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», ИНН7327032966, КПП 732701001, ОГРН 1047301330152, адрес: 432045, город Ульяновск, ул. Московское шоссе, 6-б.Свидетельство о допуске к определенному виду или видам работ, которые оказывают влияние на безопасность объектов капитального строительства от 16.03.2012г. № 0158.06-2009-7327032966-С-2, выдано некоммерческим партнерством «Саморегулируемая организация «Межрегиональное объединение строителей» на бланке 0640071.</w:t>
            </w:r>
          </w:p>
        </w:tc>
      </w:tr>
      <w:tr w:rsidR="00CC32AD" w:rsidRPr="00CC32AD" w:rsidTr="00CC32AD">
        <w:tc>
          <w:tcPr>
            <w:tcW w:w="12240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CC32AD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Директор</w:t>
            </w:r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УльяновскЦентрГазСтрой</w:t>
            </w:r>
            <w:proofErr w:type="spellEnd"/>
            <w:r w:rsidRPr="00CC32AD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32AD" w:rsidRPr="00CC32AD" w:rsidRDefault="00CC32AD" w:rsidP="00CC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2AD" w:rsidRP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C32AD" w:rsidRPr="00CC32AD" w:rsidRDefault="00CC32AD" w:rsidP="00CC32AD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А.В. Федоров</w:t>
      </w:r>
    </w:p>
    <w:p w:rsidR="00CC32AD" w:rsidRP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C32AD" w:rsidRPr="00CC32AD" w:rsidRDefault="00CC32AD" w:rsidP="00CC32AD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                                                       01.07.2014г.                 </w:t>
      </w:r>
    </w:p>
    <w:p w:rsidR="00CC32AD" w:rsidRP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C32AD" w:rsidRP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C32AD" w:rsidRP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C32AD" w:rsidRPr="00CC32AD" w:rsidRDefault="00CC32AD" w:rsidP="00CC32AD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CC32AD" w:rsidRPr="00CC32AD" w:rsidRDefault="00CC32AD" w:rsidP="00CC32AD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CC32A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Проектная декларация размещена 01.07.2014г. на сайте </w:t>
      </w:r>
      <w:hyperlink r:id="rId4" w:history="1">
        <w:r w:rsidRPr="00CC32AD">
          <w:rPr>
            <w:rFonts w:ascii="Roboto" w:eastAsia="Times New Roman" w:hAnsi="Roboto" w:cs="Times New Roman"/>
            <w:color w:val="777777"/>
            <w:sz w:val="21"/>
            <w:szCs w:val="21"/>
            <w:u w:val="single"/>
            <w:lang w:eastAsia="ru-RU"/>
          </w:rPr>
          <w:t>www.ucgs.ru</w:t>
        </w:r>
      </w:hyperlink>
    </w:p>
    <w:p w:rsidR="009A25CD" w:rsidRDefault="009A25CD"/>
    <w:sectPr w:rsidR="009A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D"/>
    <w:rsid w:val="009A25CD"/>
    <w:rsid w:val="00C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CBBA"/>
  <w15:chartTrackingRefBased/>
  <w15:docId w15:val="{3CEBD7B7-5EDC-4A7C-9F9F-1D862DB4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2017-05-14T22:11:00Z</dcterms:created>
  <dcterms:modified xsi:type="dcterms:W3CDTF">2017-05-14T22:13:00Z</dcterms:modified>
</cp:coreProperties>
</file>